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44692A10"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7B7847">
        <w:rPr>
          <w:rFonts w:cs="Arial"/>
          <w:bCs/>
          <w:noProof w:val="0"/>
          <w:sz w:val="24"/>
          <w:szCs w:val="24"/>
        </w:rPr>
        <w:t>1</w:t>
      </w:r>
      <w:r w:rsidR="00194484">
        <w:rPr>
          <w:rFonts w:cs="Arial"/>
          <w:bCs/>
          <w:noProof w:val="0"/>
          <w:sz w:val="24"/>
          <w:szCs w:val="24"/>
        </w:rPr>
        <w:t>-bis</w:t>
      </w:r>
      <w:r w:rsidR="002C1220" w:rsidRPr="000665EA">
        <w:rPr>
          <w:rFonts w:cs="Arial"/>
          <w:bCs/>
          <w:noProof w:val="0"/>
          <w:sz w:val="24"/>
          <w:szCs w:val="24"/>
        </w:rPr>
        <w:tab/>
      </w:r>
      <w:r w:rsidR="00A73DA0" w:rsidRPr="00A73DA0">
        <w:rPr>
          <w:rFonts w:cs="Arial"/>
          <w:bCs/>
          <w:noProof w:val="0"/>
          <w:sz w:val="24"/>
          <w:szCs w:val="24"/>
        </w:rPr>
        <w:t>R3-235158</w:t>
      </w:r>
    </w:p>
    <w:bookmarkEnd w:id="0"/>
    <w:p w14:paraId="5669B020" w14:textId="600767A9" w:rsidR="004C654E" w:rsidRPr="000665EA" w:rsidRDefault="00194484" w:rsidP="004C654E">
      <w:pPr>
        <w:pStyle w:val="Header"/>
        <w:tabs>
          <w:tab w:val="left" w:pos="2410"/>
        </w:tabs>
        <w:rPr>
          <w:rFonts w:eastAsia="MS Mincho" w:cs="Arial"/>
          <w:sz w:val="24"/>
          <w:szCs w:val="24"/>
        </w:rPr>
      </w:pPr>
      <w:r>
        <w:rPr>
          <w:rFonts w:eastAsia="MS Mincho" w:cs="Arial"/>
          <w:sz w:val="24"/>
          <w:szCs w:val="24"/>
        </w:rPr>
        <w:t>Xiamen, China</w:t>
      </w:r>
      <w:r w:rsidR="00FC5FE8" w:rsidRPr="000665EA">
        <w:rPr>
          <w:rFonts w:eastAsia="MS Mincho" w:cs="Arial"/>
          <w:sz w:val="24"/>
          <w:szCs w:val="24"/>
        </w:rPr>
        <w:t xml:space="preserve">, </w:t>
      </w:r>
      <w:r>
        <w:rPr>
          <w:rFonts w:eastAsia="MS Mincho" w:cs="Arial"/>
          <w:sz w:val="24"/>
          <w:szCs w:val="24"/>
        </w:rPr>
        <w:t>9</w:t>
      </w:r>
      <w:r w:rsidR="00AC691B">
        <w:rPr>
          <w:rFonts w:eastAsia="MS Mincho" w:cs="Arial"/>
          <w:sz w:val="24"/>
          <w:szCs w:val="24"/>
        </w:rPr>
        <w:t xml:space="preserve"> </w:t>
      </w:r>
      <w:r w:rsidR="00DD4A4E">
        <w:rPr>
          <w:rFonts w:eastAsia="MS Mincho" w:cs="Arial"/>
          <w:sz w:val="24"/>
          <w:szCs w:val="24"/>
        </w:rPr>
        <w:t xml:space="preserve">– </w:t>
      </w:r>
      <w:r>
        <w:rPr>
          <w:rFonts w:eastAsia="MS Mincho" w:cs="Arial"/>
          <w:sz w:val="24"/>
          <w:szCs w:val="24"/>
        </w:rPr>
        <w:t>13</w:t>
      </w:r>
      <w:r w:rsidR="00DD4A4E">
        <w:rPr>
          <w:rFonts w:eastAsia="MS Mincho" w:cs="Arial"/>
          <w:sz w:val="24"/>
          <w:szCs w:val="24"/>
        </w:rPr>
        <w:t xml:space="preserve"> </w:t>
      </w:r>
      <w:r>
        <w:rPr>
          <w:rFonts w:eastAsia="MS Mincho" w:cs="Arial"/>
          <w:sz w:val="24"/>
          <w:szCs w:val="24"/>
        </w:rPr>
        <w:t>October</w:t>
      </w:r>
      <w:r w:rsidR="005F10C3" w:rsidRPr="000665EA">
        <w:rPr>
          <w:rFonts w:eastAsia="MS Mincho" w:cs="Arial"/>
          <w:sz w:val="24"/>
          <w:szCs w:val="24"/>
        </w:rPr>
        <w:t xml:space="preserve"> 20</w:t>
      </w:r>
      <w:r w:rsidR="00FA4A45" w:rsidRPr="000665EA">
        <w:rPr>
          <w:rFonts w:eastAsia="MS Mincho" w:cs="Arial"/>
          <w:sz w:val="24"/>
          <w:szCs w:val="24"/>
        </w:rPr>
        <w:t>2</w:t>
      </w:r>
      <w:r w:rsidR="00FF5F2B">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254A7467"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C96D68">
        <w:rPr>
          <w:rFonts w:cs="Arial"/>
          <w:b/>
          <w:bCs/>
          <w:sz w:val="24"/>
        </w:rPr>
        <w:t>31.2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39DEF89"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96D68" w:rsidRPr="00C96D68">
        <w:rPr>
          <w:rFonts w:ascii="Arial" w:hAnsi="Arial" w:cs="Arial"/>
          <w:b/>
          <w:bCs/>
          <w:sz w:val="24"/>
        </w:rPr>
        <w:t>The slice availability for SN change procedure</w:t>
      </w:r>
      <w:r w:rsidR="0016345F">
        <w:rPr>
          <w:rFonts w:ascii="Arial" w:hAnsi="Arial" w:cs="Arial"/>
          <w:b/>
          <w:bCs/>
          <w:sz w:val="24"/>
        </w:rPr>
        <w:t xml:space="preserve"> – further discussion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0F3A75F4" w:rsidR="005E3D0F" w:rsidRDefault="00C96D68" w:rsidP="008572DC">
      <w:bookmarkStart w:id="1" w:name="_Toc474247438"/>
      <w:r>
        <w:t>At RAN3 #121, a proposal of a correction was made to enable slice availability information for SN change. At the time, following arguments were used to dismiss it:</w:t>
      </w:r>
    </w:p>
    <w:p w14:paraId="359AB2F5" w14:textId="740439D3" w:rsidR="00C96D68" w:rsidRDefault="00C96D68" w:rsidP="00C96D68">
      <w:pPr>
        <w:pStyle w:val="ListParagraph"/>
        <w:numPr>
          <w:ilvl w:val="0"/>
          <w:numId w:val="40"/>
        </w:numPr>
      </w:pPr>
      <w:r>
        <w:t>UEs use typically only a single slice, so existing mechanism enables the source SN to learn which slices are supported at the target side.</w:t>
      </w:r>
    </w:p>
    <w:p w14:paraId="4DD809FE" w14:textId="02721F1C" w:rsidR="00C96D68" w:rsidRDefault="00C96D68" w:rsidP="00C96D68">
      <w:pPr>
        <w:pStyle w:val="ListParagraph"/>
        <w:numPr>
          <w:ilvl w:val="0"/>
          <w:numId w:val="40"/>
        </w:numPr>
      </w:pPr>
      <w:r>
        <w:t xml:space="preserve">If both, the source and target SNs act also as a </w:t>
      </w:r>
      <w:proofErr w:type="gramStart"/>
      <w:r>
        <w:t>stand-alone nodes</w:t>
      </w:r>
      <w:proofErr w:type="gramEnd"/>
      <w:r>
        <w:t>, they know each other’s lists of supported slices.</w:t>
      </w:r>
    </w:p>
    <w:p w14:paraId="3E62A9E3" w14:textId="18BDC0AE" w:rsidR="00C96D68" w:rsidRPr="000665EA" w:rsidRDefault="00C96D68" w:rsidP="00C96D68">
      <w:r>
        <w:t xml:space="preserve">In this paper, we address </w:t>
      </w:r>
      <w:proofErr w:type="gramStart"/>
      <w:r>
        <w:t>both of these</w:t>
      </w:r>
      <w:proofErr w:type="gramEnd"/>
      <w:r>
        <w:t xml:space="preserve"> arguments.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1D148300" w14:textId="20FCB508" w:rsidR="007B1B7D" w:rsidRDefault="007B1B7D" w:rsidP="00AC7FB2">
      <w:r>
        <w:t>The argument that a solution is not needed, because a UE typically uses a single slice is wrong from the beginning: the solutions developed in 3GPP address pre-defined scenarios, not a “typical” status-quo. And the assumed slice architecture is such, that a UE may be configured with multiple slices.</w:t>
      </w:r>
      <w:r w:rsidR="00AC7FB2">
        <w:t xml:space="preserve"> Thus, there are multiple </w:t>
      </w:r>
      <w:proofErr w:type="gramStart"/>
      <w:r w:rsidR="00AC7FB2">
        <w:t>example</w:t>
      </w:r>
      <w:proofErr w:type="gramEnd"/>
      <w:r w:rsidR="00AC7FB2">
        <w:t xml:space="preserve"> of solutions that explicitly address the case where a UE is configured with multiple slices:</w:t>
      </w:r>
    </w:p>
    <w:p w14:paraId="6BE97984" w14:textId="77777777" w:rsidR="00AC7FB2" w:rsidRDefault="00AC7FB2" w:rsidP="00AC7FB2">
      <w:pPr>
        <w:rPr>
          <w:lang w:val="en-US" w:eastAsia="en-GB"/>
        </w:rPr>
      </w:pPr>
      <w:r>
        <w:rPr>
          <w:lang w:val="en-US"/>
        </w:rPr>
        <w:t>In Rel-17, RAN2/3 defined the feature of Slice Specific Cell Reselection and RACH configuration. One aspect of that was how to signal the slice specific configurations in signaling efficient way as well. For this the concept of Network Slice Access Group (NSAG) was also introduced. All this was based on arguments that both Network and UE could require connectivity to multiple slices and so on.</w:t>
      </w:r>
    </w:p>
    <w:p w14:paraId="3205E814" w14:textId="77777777" w:rsidR="00AC7FB2" w:rsidRDefault="00AC7FB2" w:rsidP="00AC7FB2">
      <w:pPr>
        <w:rPr>
          <w:lang w:val="en-US"/>
        </w:rPr>
      </w:pPr>
      <w:r>
        <w:rPr>
          <w:lang w:val="en-US"/>
        </w:rPr>
        <w:t xml:space="preserve">Similarly, on NGAP, the slicing IE like Allowed Slice, etc. are also a list and </w:t>
      </w:r>
      <w:proofErr w:type="spellStart"/>
      <w:r>
        <w:rPr>
          <w:lang w:val="en-US"/>
        </w:rPr>
        <w:t>not</w:t>
      </w:r>
      <w:proofErr w:type="spellEnd"/>
      <w:r>
        <w:rPr>
          <w:lang w:val="en-US"/>
        </w:rPr>
        <w:t xml:space="preserve"> single values.</w:t>
      </w:r>
    </w:p>
    <w:p w14:paraId="012E05F0" w14:textId="6396FD3A" w:rsidR="00AC7FB2" w:rsidRDefault="00AC7FB2" w:rsidP="00AC7FB2">
      <w:pPr>
        <w:rPr>
          <w:lang w:val="en-US"/>
        </w:rPr>
      </w:pPr>
      <w:r>
        <w:rPr>
          <w:lang w:val="en-US"/>
        </w:rPr>
        <w:t xml:space="preserve">Beyond RAN, </w:t>
      </w:r>
      <w:r w:rsidR="00631ACB">
        <w:rPr>
          <w:lang w:val="en-US"/>
        </w:rPr>
        <w:t>there are</w:t>
      </w:r>
      <w:r>
        <w:rPr>
          <w:lang w:val="en-US"/>
        </w:rPr>
        <w:t xml:space="preserve"> also features like Network Slice Simultaneous Registration Group (NSSRG). Basically</w:t>
      </w:r>
      <w:r w:rsidR="00631ACB">
        <w:rPr>
          <w:lang w:val="en-US"/>
        </w:rPr>
        <w:t>, they</w:t>
      </w:r>
      <w:r>
        <w:rPr>
          <w:lang w:val="en-US"/>
        </w:rPr>
        <w:t xml:space="preserve"> defin</w:t>
      </w:r>
      <w:r w:rsidR="00631ACB">
        <w:rPr>
          <w:lang w:val="en-US"/>
        </w:rPr>
        <w:t>e</w:t>
      </w:r>
      <w:r>
        <w:rPr>
          <w:lang w:val="en-US"/>
        </w:rPr>
        <w:t xml:space="preserve"> </w:t>
      </w:r>
      <w:r w:rsidR="00631ACB">
        <w:rPr>
          <w:lang w:val="en-US"/>
        </w:rPr>
        <w:t xml:space="preserve">to </w:t>
      </w:r>
      <w:r>
        <w:rPr>
          <w:lang w:val="en-US"/>
        </w:rPr>
        <w:t xml:space="preserve">which slices the UE can register/access simultaneously. This also </w:t>
      </w:r>
      <w:r w:rsidR="00631ACB">
        <w:rPr>
          <w:lang w:val="en-US"/>
        </w:rPr>
        <w:t>addresses the scenario</w:t>
      </w:r>
      <w:r>
        <w:rPr>
          <w:lang w:val="en-US"/>
        </w:rPr>
        <w:t xml:space="preserve"> that the UE supports and want </w:t>
      </w:r>
      <w:r w:rsidR="00631ACB">
        <w:rPr>
          <w:lang w:val="en-US"/>
        </w:rPr>
        <w:t xml:space="preserve">to </w:t>
      </w:r>
      <w:r>
        <w:rPr>
          <w:lang w:val="en-US"/>
        </w:rPr>
        <w:t>access to more than one slice.</w:t>
      </w:r>
    </w:p>
    <w:p w14:paraId="38E7C7BE" w14:textId="3628416E" w:rsidR="00AC7FB2" w:rsidRDefault="00AC7FB2" w:rsidP="00AC7FB2">
      <w:pPr>
        <w:rPr>
          <w:lang w:val="en-US"/>
        </w:rPr>
      </w:pPr>
      <w:r>
        <w:rPr>
          <w:lang w:val="en-US"/>
        </w:rPr>
        <w:t>On top of that, one may observe that even if some implementation is “typical” nowadays, it may change in future. RAN must be ready for this.</w:t>
      </w:r>
    </w:p>
    <w:p w14:paraId="03F7F986" w14:textId="5988B7DA" w:rsidR="00AC7FB2" w:rsidRPr="00BD4F2E" w:rsidRDefault="00AC7FB2" w:rsidP="00AC7FB2">
      <w:pPr>
        <w:rPr>
          <w:b/>
          <w:bCs/>
          <w:lang w:val="en-US"/>
        </w:rPr>
      </w:pPr>
      <w:r w:rsidRPr="00BD4F2E">
        <w:rPr>
          <w:b/>
          <w:bCs/>
          <w:lang w:val="en-US"/>
        </w:rPr>
        <w:t xml:space="preserve">Observation 1: Solutions developed in RAN3 can’t </w:t>
      </w:r>
      <w:proofErr w:type="gramStart"/>
      <w:r w:rsidRPr="00BD4F2E">
        <w:rPr>
          <w:b/>
          <w:bCs/>
          <w:lang w:val="en-US"/>
        </w:rPr>
        <w:t>be based on the assumption</w:t>
      </w:r>
      <w:proofErr w:type="gramEnd"/>
      <w:r w:rsidRPr="00BD4F2E">
        <w:rPr>
          <w:b/>
          <w:bCs/>
          <w:lang w:val="en-US"/>
        </w:rPr>
        <w:t xml:space="preserve"> that all UEs use only a single slice.</w:t>
      </w:r>
    </w:p>
    <w:p w14:paraId="020CFC55" w14:textId="5491CE27" w:rsidR="00AC7FB2" w:rsidRDefault="00AC7FB2" w:rsidP="00AC7FB2">
      <w:pPr>
        <w:rPr>
          <w:lang w:val="en-US"/>
        </w:rPr>
      </w:pPr>
      <w:r>
        <w:rPr>
          <w:lang w:val="en-US"/>
        </w:rPr>
        <w:t xml:space="preserve">The other argument, similarly, is based on “typical” implementation: a node that acts as a secondary may also serve UEs as a stand-alone node. If its possible </w:t>
      </w:r>
      <w:proofErr w:type="spellStart"/>
      <w:r>
        <w:rPr>
          <w:lang w:val="en-US"/>
        </w:rPr>
        <w:t>neighbour</w:t>
      </w:r>
      <w:proofErr w:type="spellEnd"/>
      <w:r>
        <w:rPr>
          <w:lang w:val="en-US"/>
        </w:rPr>
        <w:t xml:space="preserve"> is also co-implemented SN/MN, then there is an </w:t>
      </w:r>
      <w:proofErr w:type="spellStart"/>
      <w:r>
        <w:rPr>
          <w:lang w:val="en-US"/>
        </w:rPr>
        <w:t>Xn</w:t>
      </w:r>
      <w:proofErr w:type="spellEnd"/>
      <w:r>
        <w:rPr>
          <w:lang w:val="en-US"/>
        </w:rPr>
        <w:t xml:space="preserve"> interface between them and, as </w:t>
      </w:r>
      <w:proofErr w:type="spellStart"/>
      <w:r>
        <w:rPr>
          <w:lang w:val="en-US"/>
        </w:rPr>
        <w:t>neighbours</w:t>
      </w:r>
      <w:proofErr w:type="spellEnd"/>
      <w:r>
        <w:rPr>
          <w:lang w:val="en-US"/>
        </w:rPr>
        <w:t>, they exchange information about supported slices. The “SN logic” within them can use this information.</w:t>
      </w:r>
    </w:p>
    <w:p w14:paraId="789D3AD0" w14:textId="7CEFA36F" w:rsidR="00AC7FB2" w:rsidRDefault="00631ACB" w:rsidP="00AC7FB2">
      <w:pPr>
        <w:rPr>
          <w:lang w:val="en-US"/>
        </w:rPr>
      </w:pPr>
      <w:r>
        <w:rPr>
          <w:lang w:val="en-US"/>
        </w:rPr>
        <w:t xml:space="preserve">And this argument can’t be used, similarly like the above one: it assumes </w:t>
      </w:r>
      <w:proofErr w:type="gramStart"/>
      <w:r>
        <w:rPr>
          <w:lang w:val="en-US"/>
        </w:rPr>
        <w:t>particular implementation</w:t>
      </w:r>
      <w:proofErr w:type="gramEnd"/>
      <w:r>
        <w:rPr>
          <w:lang w:val="en-US"/>
        </w:rPr>
        <w:t xml:space="preserve"> (co-implementation of SN and MN), which further enables sharing of information between the two logical sides of the node.</w:t>
      </w:r>
      <w:r w:rsidR="00BD4F2E">
        <w:rPr>
          <w:lang w:val="en-US"/>
        </w:rPr>
        <w:t xml:space="preserve"> RAN3 defined solutions based on the agreed architectures only.</w:t>
      </w:r>
    </w:p>
    <w:p w14:paraId="78866335" w14:textId="0FB7EF14" w:rsidR="00BD4F2E" w:rsidRPr="009525EB" w:rsidRDefault="00BD4F2E" w:rsidP="00AC7FB2">
      <w:pPr>
        <w:rPr>
          <w:b/>
          <w:bCs/>
          <w:lang w:val="en-US"/>
        </w:rPr>
      </w:pPr>
      <w:r w:rsidRPr="009525EB">
        <w:rPr>
          <w:b/>
          <w:bCs/>
          <w:lang w:val="en-US"/>
        </w:rPr>
        <w:t xml:space="preserve">Observation 2: Solutions developed in RAN3 can’t </w:t>
      </w:r>
      <w:r w:rsidR="009525EB" w:rsidRPr="009525EB">
        <w:rPr>
          <w:b/>
          <w:bCs/>
          <w:lang w:val="en-US"/>
        </w:rPr>
        <w:t>assume that only one detailed implementation and deployment will be used.</w:t>
      </w:r>
    </w:p>
    <w:p w14:paraId="3723E756" w14:textId="537EFD9E" w:rsidR="009525EB" w:rsidRDefault="009525EB" w:rsidP="00AC7FB2">
      <w:pPr>
        <w:rPr>
          <w:lang w:val="en-US"/>
        </w:rPr>
      </w:pPr>
      <w:r>
        <w:rPr>
          <w:lang w:val="en-US"/>
        </w:rPr>
        <w:lastRenderedPageBreak/>
        <w:t xml:space="preserve">Based on the above, the arguments from RAN3 #121 meeting can’t prevent enhancing the SN change solution with the available slice information. Since there is no direct non-UE associated </w:t>
      </w:r>
      <w:proofErr w:type="spellStart"/>
      <w:r>
        <w:rPr>
          <w:lang w:val="en-US"/>
        </w:rPr>
        <w:t>signalling</w:t>
      </w:r>
      <w:proofErr w:type="spellEnd"/>
      <w:r>
        <w:rPr>
          <w:lang w:val="en-US"/>
        </w:rPr>
        <w:t xml:space="preserve"> between SNs, it is proposed to use UE-related </w:t>
      </w:r>
      <w:proofErr w:type="spellStart"/>
      <w:r>
        <w:rPr>
          <w:lang w:val="en-US"/>
        </w:rPr>
        <w:t>signalling</w:t>
      </w:r>
      <w:proofErr w:type="spellEnd"/>
      <w:r>
        <w:rPr>
          <w:lang w:val="en-US"/>
        </w:rPr>
        <w:t xml:space="preserve"> that will enable the nodes to learn the list of supported slices of their </w:t>
      </w:r>
      <w:proofErr w:type="spellStart"/>
      <w:r>
        <w:rPr>
          <w:lang w:val="en-US"/>
        </w:rPr>
        <w:t>neighbours</w:t>
      </w:r>
      <w:proofErr w:type="spellEnd"/>
      <w:r>
        <w:rPr>
          <w:lang w:val="en-US"/>
        </w:rPr>
        <w:t>.</w:t>
      </w:r>
    </w:p>
    <w:p w14:paraId="51042AAF" w14:textId="300B08E6" w:rsidR="009525EB" w:rsidRPr="009525EB" w:rsidRDefault="009525EB" w:rsidP="00AC7FB2">
      <w:pPr>
        <w:rPr>
          <w:b/>
          <w:bCs/>
          <w:lang w:val="en-US"/>
        </w:rPr>
      </w:pPr>
      <w:r w:rsidRPr="009525EB">
        <w:rPr>
          <w:b/>
          <w:bCs/>
          <w:lang w:val="en-US"/>
        </w:rPr>
        <w:t xml:space="preserve">Proposal: Available slice information is added to the UE-associated </w:t>
      </w:r>
      <w:proofErr w:type="spellStart"/>
      <w:r w:rsidRPr="009525EB">
        <w:rPr>
          <w:b/>
          <w:bCs/>
          <w:lang w:val="en-US"/>
        </w:rPr>
        <w:t>signalling</w:t>
      </w:r>
      <w:proofErr w:type="spellEnd"/>
      <w:r w:rsidRPr="009525EB">
        <w:rPr>
          <w:b/>
          <w:bCs/>
          <w:lang w:val="en-US"/>
        </w:rPr>
        <w:t xml:space="preserve"> between SN and MN to enable the former to learn supported slices in its </w:t>
      </w:r>
      <w:proofErr w:type="spellStart"/>
      <w:r w:rsidRPr="009525EB">
        <w:rPr>
          <w:b/>
          <w:bCs/>
          <w:lang w:val="en-US"/>
        </w:rPr>
        <w:t>neighbour</w:t>
      </w:r>
      <w:proofErr w:type="spellEnd"/>
      <w:r w:rsidRPr="009525EB">
        <w:rPr>
          <w:b/>
          <w:bCs/>
          <w:lang w:val="en-US"/>
        </w:rPr>
        <w:t xml:space="preserve"> SNs.</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2ED39179" w:rsidR="002F4257" w:rsidRDefault="002F4257" w:rsidP="00D20DF3">
      <w:pPr>
        <w:jc w:val="both"/>
        <w:rPr>
          <w:bCs/>
        </w:rPr>
      </w:pPr>
      <w:r>
        <w:rPr>
          <w:bCs/>
        </w:rPr>
        <w:t xml:space="preserve">In this paper, </w:t>
      </w:r>
      <w:r w:rsidR="009525EB">
        <w:rPr>
          <w:bCs/>
        </w:rPr>
        <w:t>we discuss further an enhancement to the SN change mechanism to make SNs aware of supported slices in their neighbour SNs. First, we address the arguments voiced at the last RAN3 meeting:</w:t>
      </w:r>
    </w:p>
    <w:p w14:paraId="62FCFDCA" w14:textId="77777777" w:rsidR="009525EB" w:rsidRPr="009525EB" w:rsidRDefault="009525EB" w:rsidP="009525EB">
      <w:pPr>
        <w:ind w:left="284"/>
        <w:jc w:val="both"/>
        <w:rPr>
          <w:bCs/>
        </w:rPr>
      </w:pPr>
      <w:r w:rsidRPr="009525EB">
        <w:rPr>
          <w:bCs/>
        </w:rPr>
        <w:t xml:space="preserve">Observation 1: Solutions developed in RAN3 can’t </w:t>
      </w:r>
      <w:proofErr w:type="gramStart"/>
      <w:r w:rsidRPr="009525EB">
        <w:rPr>
          <w:bCs/>
        </w:rPr>
        <w:t>be based on the assumption</w:t>
      </w:r>
      <w:proofErr w:type="gramEnd"/>
      <w:r w:rsidRPr="009525EB">
        <w:rPr>
          <w:bCs/>
        </w:rPr>
        <w:t xml:space="preserve"> that all UEs use only a single slice.</w:t>
      </w:r>
    </w:p>
    <w:p w14:paraId="314EC903" w14:textId="1EA10899" w:rsidR="009525EB" w:rsidRDefault="009525EB" w:rsidP="009525EB">
      <w:pPr>
        <w:ind w:left="284"/>
        <w:jc w:val="both"/>
        <w:rPr>
          <w:bCs/>
        </w:rPr>
      </w:pPr>
      <w:r w:rsidRPr="009525EB">
        <w:rPr>
          <w:bCs/>
        </w:rPr>
        <w:t>Observation 2: Solutions developed in RAN3 can’t assume that only one detailed implementation and deployment will be used.</w:t>
      </w:r>
    </w:p>
    <w:p w14:paraId="2C3D2815" w14:textId="558AF41B" w:rsidR="009525EB" w:rsidRDefault="009525EB" w:rsidP="009525EB">
      <w:pPr>
        <w:jc w:val="both"/>
        <w:rPr>
          <w:bCs/>
        </w:rPr>
      </w:pPr>
      <w:r>
        <w:rPr>
          <w:bCs/>
        </w:rPr>
        <w:t>Based on this, we propose:</w:t>
      </w:r>
    </w:p>
    <w:p w14:paraId="426CC9F9" w14:textId="0D48A0B4" w:rsidR="009525EB" w:rsidRDefault="009525EB" w:rsidP="009525EB">
      <w:pPr>
        <w:ind w:left="284"/>
        <w:jc w:val="both"/>
        <w:rPr>
          <w:bCs/>
        </w:rPr>
      </w:pPr>
      <w:r w:rsidRPr="009525EB">
        <w:rPr>
          <w:bCs/>
        </w:rPr>
        <w:t>Proposal: Available slice information is added to the UE-associated signalling between SN and MN to enable the former to learn supported slices in its neighbour SNs.</w:t>
      </w:r>
    </w:p>
    <w:p w14:paraId="21A337AF" w14:textId="66930A16" w:rsidR="002F4257" w:rsidRPr="000665EA" w:rsidRDefault="002F4257" w:rsidP="006A43F7">
      <w:pPr>
        <w:jc w:val="both"/>
        <w:rPr>
          <w:bCs/>
        </w:rPr>
      </w:pPr>
      <w:r>
        <w:rPr>
          <w:bCs/>
        </w:rPr>
        <w:t xml:space="preserve">The </w:t>
      </w:r>
      <w:r w:rsidR="009525EB">
        <w:rPr>
          <w:bCs/>
        </w:rPr>
        <w:t>CR</w:t>
      </w:r>
      <w:r>
        <w:rPr>
          <w:bCs/>
        </w:rPr>
        <w:t xml:space="preserve"> implementing the solution </w:t>
      </w:r>
      <w:r w:rsidR="009525EB">
        <w:rPr>
          <w:bCs/>
        </w:rPr>
        <w:t>is</w:t>
      </w:r>
      <w:r>
        <w:rPr>
          <w:bCs/>
        </w:rPr>
        <w:t xml:space="preserve"> proposed in [1].</w:t>
      </w:r>
    </w:p>
    <w:p w14:paraId="483F8717" w14:textId="77777777" w:rsidR="00403B9B" w:rsidRPr="000665EA" w:rsidRDefault="00403B9B" w:rsidP="00403B9B">
      <w:pPr>
        <w:pStyle w:val="Heading1"/>
      </w:pPr>
      <w:r w:rsidRPr="000665EA">
        <w:t>References</w:t>
      </w:r>
    </w:p>
    <w:p w14:paraId="65C3740D" w14:textId="7B79A710" w:rsidR="002F4257" w:rsidRPr="000665EA" w:rsidRDefault="00A73DA0" w:rsidP="008A3464">
      <w:pPr>
        <w:numPr>
          <w:ilvl w:val="0"/>
          <w:numId w:val="4"/>
        </w:numPr>
        <w:overflowPunct w:val="0"/>
        <w:autoSpaceDE w:val="0"/>
        <w:autoSpaceDN w:val="0"/>
        <w:adjustRightInd w:val="0"/>
        <w:textAlignment w:val="baseline"/>
      </w:pPr>
      <w:r w:rsidRPr="00A73DA0">
        <w:t>R3-23515</w:t>
      </w:r>
      <w:r>
        <w:t>9</w:t>
      </w:r>
      <w:r w:rsidR="0011754A">
        <w:t>, RAN3 #121-bis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9484" w14:textId="77777777" w:rsidR="00EF4041" w:rsidRDefault="00EF4041">
      <w:r>
        <w:separator/>
      </w:r>
    </w:p>
  </w:endnote>
  <w:endnote w:type="continuationSeparator" w:id="0">
    <w:p w14:paraId="3FB34570" w14:textId="77777777" w:rsidR="00EF4041" w:rsidRDefault="00EF4041">
      <w:r>
        <w:continuationSeparator/>
      </w:r>
    </w:p>
  </w:endnote>
  <w:endnote w:type="continuationNotice" w:id="1">
    <w:p w14:paraId="34440C79" w14:textId="77777777" w:rsidR="00EF4041" w:rsidRDefault="00EF40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4FD7C" w14:textId="77777777" w:rsidR="00EF4041" w:rsidRDefault="00EF4041">
      <w:r>
        <w:separator/>
      </w:r>
    </w:p>
  </w:footnote>
  <w:footnote w:type="continuationSeparator" w:id="0">
    <w:p w14:paraId="5FED87F4" w14:textId="77777777" w:rsidR="00EF4041" w:rsidRDefault="00EF4041">
      <w:r>
        <w:continuationSeparator/>
      </w:r>
    </w:p>
  </w:footnote>
  <w:footnote w:type="continuationNotice" w:id="1">
    <w:p w14:paraId="3B0C896E" w14:textId="77777777" w:rsidR="00EF4041" w:rsidRDefault="00EF40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5A1E29"/>
    <w:multiLevelType w:val="hybridMultilevel"/>
    <w:tmpl w:val="F0C6A1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0"/>
  </w:num>
  <w:num w:numId="2" w16cid:durableId="1325889781">
    <w:abstractNumId w:val="30"/>
  </w:num>
  <w:num w:numId="3" w16cid:durableId="1574008939">
    <w:abstractNumId w:val="15"/>
  </w:num>
  <w:num w:numId="4" w16cid:durableId="1234775468">
    <w:abstractNumId w:val="9"/>
  </w:num>
  <w:num w:numId="5" w16cid:durableId="1444763253">
    <w:abstractNumId w:val="10"/>
  </w:num>
  <w:num w:numId="6" w16cid:durableId="1469472348">
    <w:abstractNumId w:val="38"/>
  </w:num>
  <w:num w:numId="7" w16cid:durableId="123275557">
    <w:abstractNumId w:val="25"/>
  </w:num>
  <w:num w:numId="8" w16cid:durableId="1128008256">
    <w:abstractNumId w:val="16"/>
  </w:num>
  <w:num w:numId="9" w16cid:durableId="1423840149">
    <w:abstractNumId w:val="37"/>
  </w:num>
  <w:num w:numId="10" w16cid:durableId="1824349208">
    <w:abstractNumId w:val="24"/>
  </w:num>
  <w:num w:numId="11" w16cid:durableId="1397623785">
    <w:abstractNumId w:val="14"/>
  </w:num>
  <w:num w:numId="12" w16cid:durableId="1929000652">
    <w:abstractNumId w:val="32"/>
  </w:num>
  <w:num w:numId="13" w16cid:durableId="899681234">
    <w:abstractNumId w:val="33"/>
  </w:num>
  <w:num w:numId="14" w16cid:durableId="1654260041">
    <w:abstractNumId w:val="31"/>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19"/>
  </w:num>
  <w:num w:numId="25" w16cid:durableId="692803473">
    <w:abstractNumId w:val="27"/>
  </w:num>
  <w:num w:numId="26" w16cid:durableId="265969315">
    <w:abstractNumId w:val="17"/>
  </w:num>
  <w:num w:numId="27" w16cid:durableId="2116705214">
    <w:abstractNumId w:val="21"/>
  </w:num>
  <w:num w:numId="28" w16cid:durableId="1051540479">
    <w:abstractNumId w:val="35"/>
  </w:num>
  <w:num w:numId="29" w16cid:durableId="838499363">
    <w:abstractNumId w:val="36"/>
  </w:num>
  <w:num w:numId="30" w16cid:durableId="550112542">
    <w:abstractNumId w:val="26"/>
  </w:num>
  <w:num w:numId="31" w16cid:durableId="1736466177">
    <w:abstractNumId w:val="23"/>
  </w:num>
  <w:num w:numId="32" w16cid:durableId="280385660">
    <w:abstractNumId w:val="18"/>
  </w:num>
  <w:num w:numId="33" w16cid:durableId="981617863">
    <w:abstractNumId w:val="28"/>
  </w:num>
  <w:num w:numId="34" w16cid:durableId="1913150918">
    <w:abstractNumId w:val="13"/>
  </w:num>
  <w:num w:numId="35" w16cid:durableId="2048289712">
    <w:abstractNumId w:val="12"/>
  </w:num>
  <w:num w:numId="36" w16cid:durableId="1171486525">
    <w:abstractNumId w:val="34"/>
  </w:num>
  <w:num w:numId="37" w16cid:durableId="1258097089">
    <w:abstractNumId w:val="22"/>
  </w:num>
  <w:num w:numId="38" w16cid:durableId="899294452">
    <w:abstractNumId w:val="29"/>
  </w:num>
  <w:num w:numId="39" w16cid:durableId="1632204940">
    <w:abstractNumId w:val="39"/>
  </w:num>
  <w:num w:numId="40" w16cid:durableId="163768480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54A"/>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345F"/>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ACB"/>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6F8A"/>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1B7D"/>
    <w:rsid w:val="007B2C0A"/>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1E7E"/>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5EB"/>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3DA0"/>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FB2"/>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4F2E"/>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68"/>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041"/>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F2B"/>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37297584">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141</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4194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slice availability for SN change procedure</dc:title>
  <dc:subject>3GPP RAN3 #121-bis</dc:subject>
  <dc:creator>Benoist Sébire</dc:creator>
  <cp:keywords>&lt;keyword[, keyword, ]&gt;</cp:keywords>
  <dc:description/>
  <cp:lastModifiedBy>Krzysztof Kordybach (Nokia)</cp:lastModifiedBy>
  <cp:revision>54</cp:revision>
  <cp:lastPrinted>2019-03-27T07:16:00Z</cp:lastPrinted>
  <dcterms:created xsi:type="dcterms:W3CDTF">2019-10-03T12:07:00Z</dcterms:created>
  <dcterms:modified xsi:type="dcterms:W3CDTF">2023-09-28T09:23:00Z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